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1D4E" w14:textId="77777777" w:rsidR="006E3391" w:rsidRDefault="008D6A7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Minutes</w:t>
      </w:r>
    </w:p>
    <w:p w14:paraId="647EF966" w14:textId="77777777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August 25, 2020 </w:t>
      </w:r>
      <w:r>
        <w:rPr>
          <w:b/>
          <w:color w:val="000000"/>
          <w:sz w:val="22"/>
          <w:szCs w:val="22"/>
        </w:rPr>
        <w:t>DIGITAL MEETING 6pm</w:t>
      </w:r>
    </w:p>
    <w:p w14:paraId="7632A381" w14:textId="77777777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TOWN BOARD MEETING </w:t>
      </w:r>
    </w:p>
    <w:p w14:paraId="0FB789D2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F2EFDCE" w14:textId="77777777" w:rsidR="006E3391" w:rsidRDefault="007C19F2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CALL TO ORDER/PLEDGE TO FLAG- Stated by each Town </w:t>
      </w:r>
      <w:r>
        <w:rPr>
          <w:sz w:val="22"/>
          <w:szCs w:val="22"/>
        </w:rPr>
        <w:t>Board</w:t>
      </w:r>
      <w:r>
        <w:rPr>
          <w:color w:val="000000"/>
          <w:sz w:val="22"/>
          <w:szCs w:val="22"/>
        </w:rPr>
        <w:t xml:space="preserve"> Member </w:t>
      </w:r>
    </w:p>
    <w:p w14:paraId="18CB8A60" w14:textId="77777777" w:rsidR="006E3391" w:rsidRDefault="007C19F2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ROLL CALL</w:t>
      </w:r>
    </w:p>
    <w:p w14:paraId="538843BD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</w:p>
    <w:p w14:paraId="2D9B92B6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89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1603"/>
        <w:gridCol w:w="1439"/>
        <w:gridCol w:w="1102"/>
      </w:tblGrid>
      <w:tr w:rsidR="006E3391" w14:paraId="14FDC084" w14:textId="77777777">
        <w:trPr>
          <w:trHeight w:val="320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B3B3B3"/>
              <w:right w:val="single" w:sz="8" w:space="0" w:color="B2B2B2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81CEB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B2B2B2"/>
              <w:bottom w:val="single" w:sz="8" w:space="0" w:color="B3B3B3"/>
              <w:right w:val="single" w:sz="8" w:space="0" w:color="B2B2B2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A442F" w14:textId="77777777" w:rsidR="006E3391" w:rsidRDefault="007C19F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B2B2B2"/>
              <w:bottom w:val="single" w:sz="8" w:space="0" w:color="B3B3B3"/>
              <w:right w:val="single" w:sz="8" w:space="0" w:color="B2B2B2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66643" w14:textId="77777777" w:rsidR="006E3391" w:rsidRDefault="007C19F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COMMENT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B2B2B2"/>
              <w:bottom w:val="single" w:sz="8" w:space="0" w:color="B3B3B3"/>
              <w:right w:val="single" w:sz="8" w:space="0" w:color="B2B2B2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DF21A" w14:textId="77777777" w:rsidR="006E3391" w:rsidRDefault="006E3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E3391" w14:paraId="58F64E95" w14:textId="77777777">
        <w:trPr>
          <w:trHeight w:val="320"/>
        </w:trPr>
        <w:tc>
          <w:tcPr>
            <w:tcW w:w="4818" w:type="dxa"/>
            <w:tcBorders>
              <w:top w:val="single" w:sz="8" w:space="0" w:color="B3B3B3"/>
              <w:left w:val="single" w:sz="8" w:space="0" w:color="000000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3F19" w14:textId="77777777" w:rsidR="006E3391" w:rsidRDefault="007C19F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Supervisor John C. Reilly</w:t>
            </w:r>
          </w:p>
        </w:tc>
        <w:tc>
          <w:tcPr>
            <w:tcW w:w="160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4964B" w14:textId="77777777" w:rsidR="006E3391" w:rsidRDefault="00143671">
            <w:pPr>
              <w:pStyle w:val="Normal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D6"/>
            </w:r>
          </w:p>
        </w:tc>
        <w:tc>
          <w:tcPr>
            <w:tcW w:w="143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6B0E2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AEAE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</w:tr>
      <w:tr w:rsidR="006E3391" w14:paraId="4770A077" w14:textId="77777777">
        <w:trPr>
          <w:trHeight w:val="320"/>
        </w:trPr>
        <w:tc>
          <w:tcPr>
            <w:tcW w:w="4818" w:type="dxa"/>
            <w:tcBorders>
              <w:top w:val="single" w:sz="8" w:space="0" w:color="B3B3B3"/>
              <w:left w:val="single" w:sz="8" w:space="0" w:color="000000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9041" w14:textId="77777777" w:rsidR="006E3391" w:rsidRDefault="007C19F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Council-member Nichole Martini</w:t>
            </w:r>
          </w:p>
        </w:tc>
        <w:tc>
          <w:tcPr>
            <w:tcW w:w="160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7FD8F" w14:textId="77777777" w:rsidR="006E3391" w:rsidRDefault="00143671">
            <w:pPr>
              <w:pStyle w:val="Normal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D6"/>
            </w:r>
          </w:p>
        </w:tc>
        <w:tc>
          <w:tcPr>
            <w:tcW w:w="143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718CF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FB070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</w:tr>
      <w:tr w:rsidR="006E3391" w14:paraId="2BDE33F4" w14:textId="77777777">
        <w:trPr>
          <w:trHeight w:val="320"/>
        </w:trPr>
        <w:tc>
          <w:tcPr>
            <w:tcW w:w="4818" w:type="dxa"/>
            <w:tcBorders>
              <w:top w:val="single" w:sz="8" w:space="0" w:color="B3B3B3"/>
              <w:left w:val="single" w:sz="8" w:space="0" w:color="000000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8BEBC" w14:textId="77777777" w:rsidR="006E3391" w:rsidRDefault="007C19F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Council-member Pat Odell </w:t>
            </w:r>
          </w:p>
        </w:tc>
        <w:tc>
          <w:tcPr>
            <w:tcW w:w="160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1368" w14:textId="77777777" w:rsidR="006E3391" w:rsidRDefault="00143671">
            <w:pPr>
              <w:pStyle w:val="Normal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D6"/>
            </w:r>
          </w:p>
        </w:tc>
        <w:tc>
          <w:tcPr>
            <w:tcW w:w="143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3FD8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90AC0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</w:tr>
      <w:tr w:rsidR="006E3391" w14:paraId="253800D4" w14:textId="77777777">
        <w:trPr>
          <w:trHeight w:val="320"/>
        </w:trPr>
        <w:tc>
          <w:tcPr>
            <w:tcW w:w="4818" w:type="dxa"/>
            <w:tcBorders>
              <w:top w:val="single" w:sz="8" w:space="0" w:color="B3B3B3"/>
              <w:left w:val="single" w:sz="8" w:space="0" w:color="000000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E712" w14:textId="77777777" w:rsidR="006E3391" w:rsidRDefault="007C19F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Council-member Eric Mortenson</w:t>
            </w:r>
          </w:p>
        </w:tc>
        <w:tc>
          <w:tcPr>
            <w:tcW w:w="160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3F55" w14:textId="77777777" w:rsidR="006E3391" w:rsidRDefault="00143671">
            <w:pPr>
              <w:pStyle w:val="Normal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D6"/>
            </w:r>
          </w:p>
        </w:tc>
        <w:tc>
          <w:tcPr>
            <w:tcW w:w="143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676A6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27ED1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</w:tr>
      <w:tr w:rsidR="006E3391" w14:paraId="33C2136F" w14:textId="77777777">
        <w:trPr>
          <w:trHeight w:val="320"/>
        </w:trPr>
        <w:tc>
          <w:tcPr>
            <w:tcW w:w="4818" w:type="dxa"/>
            <w:tcBorders>
              <w:top w:val="single" w:sz="8" w:space="0" w:color="B3B3B3"/>
              <w:left w:val="single" w:sz="8" w:space="0" w:color="000000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83E1" w14:textId="77777777" w:rsidR="006E3391" w:rsidRDefault="007C19F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Council-member John Fraser Paterson</w:t>
            </w:r>
          </w:p>
        </w:tc>
        <w:tc>
          <w:tcPr>
            <w:tcW w:w="160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437CA" w14:textId="77777777" w:rsidR="006E3391" w:rsidRDefault="00143671">
            <w:pPr>
              <w:pStyle w:val="Normal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D6"/>
            </w:r>
          </w:p>
        </w:tc>
        <w:tc>
          <w:tcPr>
            <w:tcW w:w="143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D0D55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64A0" w14:textId="77777777" w:rsidR="006E3391" w:rsidRDefault="006E3391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</w:tr>
    </w:tbl>
    <w:p w14:paraId="377063D7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DB2F2C3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51823DF" w14:textId="77777777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MONTHLY THOUGHT</w:t>
      </w:r>
      <w:r>
        <w:rPr>
          <w:b/>
          <w:sz w:val="22"/>
          <w:szCs w:val="22"/>
        </w:rPr>
        <w:t>:</w:t>
      </w:r>
    </w:p>
    <w:p w14:paraId="0A24CD66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0E87C0D" w14:textId="77777777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August rain: the best of the summer gone, and the new fall not yet born. The odd uneven time.” </w:t>
      </w:r>
    </w:p>
    <w:p w14:paraId="31EBC8D4" w14:textId="77777777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― Sylvia Plath, The Unabridged Journals of Sylvia Plath</w:t>
      </w:r>
    </w:p>
    <w:p w14:paraId="3D843925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49108E6" w14:textId="77777777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 SECTION 2020</w:t>
      </w:r>
    </w:p>
    <w:p w14:paraId="1B0F2BD6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01160C6" w14:textId="77777777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Digital Meeting plans.</w:t>
      </w:r>
      <w:r w:rsidR="00037F48">
        <w:rPr>
          <w:sz w:val="22"/>
          <w:szCs w:val="22"/>
        </w:rPr>
        <w:t xml:space="preserve"> </w:t>
      </w:r>
      <w:r w:rsidR="00701E98">
        <w:rPr>
          <w:sz w:val="22"/>
          <w:szCs w:val="22"/>
        </w:rPr>
        <w:t>The September meeting will be a hybrid meeting of zoom participants and a limited number seats for the public to maintain social distancing.</w:t>
      </w:r>
    </w:p>
    <w:p w14:paraId="25BA4FF7" w14:textId="77777777" w:rsidR="00701E98" w:rsidRDefault="00701E9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79A8DDE" w14:textId="2E96AFA3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Census 2020 update and planned mobile unit events</w:t>
      </w:r>
      <w:r w:rsidR="00701E98">
        <w:rPr>
          <w:sz w:val="22"/>
          <w:szCs w:val="22"/>
        </w:rPr>
        <w:t xml:space="preserve">- Town Hall September 19 </w:t>
      </w:r>
      <w:r w:rsidR="00E731A6">
        <w:rPr>
          <w:sz w:val="22"/>
          <w:szCs w:val="22"/>
        </w:rPr>
        <w:t>and Gallatin</w:t>
      </w:r>
      <w:r w:rsidR="00701E98">
        <w:rPr>
          <w:sz w:val="22"/>
          <w:szCs w:val="22"/>
        </w:rPr>
        <w:t xml:space="preserve"> Transfer Station September 12.</w:t>
      </w:r>
    </w:p>
    <w:p w14:paraId="7F41875D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FF2F599" w14:textId="095F2B83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Speed limit issues and resolutions </w:t>
      </w:r>
      <w:r w:rsidR="005D33B9">
        <w:rPr>
          <w:sz w:val="22"/>
          <w:szCs w:val="22"/>
        </w:rPr>
        <w:t>–</w:t>
      </w:r>
      <w:r w:rsidR="00701E98">
        <w:rPr>
          <w:sz w:val="22"/>
          <w:szCs w:val="22"/>
        </w:rPr>
        <w:t>A resolution</w:t>
      </w:r>
      <w:r w:rsidR="00920B55">
        <w:rPr>
          <w:sz w:val="22"/>
          <w:szCs w:val="22"/>
        </w:rPr>
        <w:t xml:space="preserve"> for the September</w:t>
      </w:r>
      <w:r w:rsidR="00347E40">
        <w:rPr>
          <w:sz w:val="22"/>
          <w:szCs w:val="22"/>
        </w:rPr>
        <w:t xml:space="preserve"> </w:t>
      </w:r>
      <w:r w:rsidR="00E731A6">
        <w:rPr>
          <w:sz w:val="22"/>
          <w:szCs w:val="22"/>
        </w:rPr>
        <w:t>M</w:t>
      </w:r>
      <w:r w:rsidR="00347E40">
        <w:rPr>
          <w:sz w:val="22"/>
          <w:szCs w:val="22"/>
        </w:rPr>
        <w:t>eeting</w:t>
      </w:r>
      <w:r w:rsidR="00701E98">
        <w:rPr>
          <w:sz w:val="22"/>
          <w:szCs w:val="22"/>
        </w:rPr>
        <w:t xml:space="preserve"> will request the speed limit review on the Gallatin Roads that have no posted speed limit. This request goes to Columbia County Engineering and then to the State DOT.  Highway </w:t>
      </w:r>
      <w:r w:rsidR="00AB408F">
        <w:rPr>
          <w:sz w:val="22"/>
          <w:szCs w:val="22"/>
        </w:rPr>
        <w:t>Superintendent</w:t>
      </w:r>
      <w:r w:rsidR="00701E98">
        <w:rPr>
          <w:sz w:val="22"/>
          <w:szCs w:val="22"/>
        </w:rPr>
        <w:t xml:space="preserve"> Gomm will </w:t>
      </w:r>
      <w:r w:rsidR="00AB408F">
        <w:rPr>
          <w:sz w:val="22"/>
          <w:szCs w:val="22"/>
        </w:rPr>
        <w:t xml:space="preserve">give the board a list of roads that have no posted speed limit. </w:t>
      </w:r>
    </w:p>
    <w:p w14:paraId="76C496F7" w14:textId="77777777" w:rsidR="00AB408F" w:rsidRDefault="00AB40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EE07E42" w14:textId="632D8DB3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Broadband review and updates</w:t>
      </w:r>
      <w:r w:rsidR="00D40680">
        <w:rPr>
          <w:sz w:val="22"/>
          <w:szCs w:val="22"/>
        </w:rPr>
        <w:t>-</w:t>
      </w:r>
      <w:r w:rsidR="00920B55">
        <w:rPr>
          <w:sz w:val="22"/>
          <w:szCs w:val="22"/>
        </w:rPr>
        <w:t xml:space="preserve">Supervisor reported on the progress on hook ups and pointed out that all three companies; Consolidated, G-Tel and </w:t>
      </w:r>
      <w:r w:rsidR="00E731A6">
        <w:rPr>
          <w:sz w:val="22"/>
          <w:szCs w:val="22"/>
        </w:rPr>
        <w:t>Mid-Hudson</w:t>
      </w:r>
      <w:r w:rsidR="00920B55">
        <w:rPr>
          <w:sz w:val="22"/>
          <w:szCs w:val="22"/>
        </w:rPr>
        <w:t xml:space="preserve"> Data were providing hot spots at  area Town Halls, libraries and schools and providing reduced cost hookups for families that could demonstrate need</w:t>
      </w:r>
      <w:r w:rsidR="00D40680">
        <w:rPr>
          <w:sz w:val="22"/>
          <w:szCs w:val="22"/>
        </w:rPr>
        <w:t xml:space="preserve"> </w:t>
      </w:r>
    </w:p>
    <w:p w14:paraId="3558A5FC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1A1B59C" w14:textId="59CFC0CA" w:rsidR="00347E40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Update Town Solstice initiative direct </w:t>
      </w:r>
      <w:r w:rsidR="00E731A6">
        <w:rPr>
          <w:sz w:val="22"/>
          <w:szCs w:val="22"/>
        </w:rPr>
        <w:t>mailing and</w:t>
      </w:r>
      <w:r>
        <w:rPr>
          <w:sz w:val="22"/>
          <w:szCs w:val="22"/>
        </w:rPr>
        <w:t xml:space="preserve"> discuss Copake proposed zoning </w:t>
      </w:r>
      <w:r>
        <w:rPr>
          <w:sz w:val="22"/>
          <w:szCs w:val="22"/>
        </w:rPr>
        <w:lastRenderedPageBreak/>
        <w:t>changes as a preemptive action to large scale Solar projects, understanding State presumptive powers.</w:t>
      </w:r>
      <w:r w:rsidR="00641DD3">
        <w:rPr>
          <w:sz w:val="22"/>
          <w:szCs w:val="22"/>
        </w:rPr>
        <w:t xml:space="preserve"> </w:t>
      </w:r>
    </w:p>
    <w:p w14:paraId="24E47FB4" w14:textId="2427B043" w:rsidR="00641DD3" w:rsidRDefault="008E41E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The Town has received the first check from Sol</w:t>
      </w:r>
      <w:r w:rsidR="00650E82">
        <w:rPr>
          <w:sz w:val="22"/>
          <w:szCs w:val="22"/>
        </w:rPr>
        <w:t>s</w:t>
      </w:r>
      <w:r>
        <w:rPr>
          <w:sz w:val="22"/>
          <w:szCs w:val="22"/>
        </w:rPr>
        <w:t>tice for $1,200. The goal is to have 100 residents sign up. These funds will go towards solar lighting in the Town Hall Parking lot.</w:t>
      </w:r>
    </w:p>
    <w:p w14:paraId="6D03D6FB" w14:textId="77777777" w:rsidR="008E41E2" w:rsidRDefault="008E41E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The Solar installation at the Highway Garage should be complete be the end of September. </w:t>
      </w:r>
    </w:p>
    <w:p w14:paraId="475B5D09" w14:textId="77777777" w:rsidR="00641DD3" w:rsidRDefault="008E41E2" w:rsidP="008E41E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Regulations and guidelines for large scale solar projects will be addressed in the comp plan review. </w:t>
      </w:r>
      <w:r w:rsidR="00641D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Town will watch how Copake addresses the large solar project and see if Gallatin could benefit by the Copake Solar Laws. </w:t>
      </w:r>
    </w:p>
    <w:p w14:paraId="170CF3DF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6F45E11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6AFD5B7" w14:textId="05375F62" w:rsidR="00347E40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Gallatin Budget Update and 2021 budget schedule. Chips update-County Budget reduction levels. Court revenue and </w:t>
      </w:r>
      <w:r w:rsidR="00E731A6">
        <w:rPr>
          <w:sz w:val="22"/>
          <w:szCs w:val="22"/>
        </w:rPr>
        <w:t>update.</w:t>
      </w:r>
      <w:r>
        <w:rPr>
          <w:sz w:val="22"/>
          <w:szCs w:val="22"/>
        </w:rPr>
        <w:t xml:space="preserve"> </w:t>
      </w:r>
      <w:r w:rsidR="00D32AE2">
        <w:rPr>
          <w:sz w:val="22"/>
          <w:szCs w:val="22"/>
        </w:rPr>
        <w:t>Chips 20% behind</w:t>
      </w:r>
      <w:r w:rsidR="00920B55">
        <w:rPr>
          <w:sz w:val="22"/>
          <w:szCs w:val="22"/>
        </w:rPr>
        <w:t xml:space="preserve"> </w:t>
      </w:r>
      <w:r w:rsidR="00347E40">
        <w:rPr>
          <w:sz w:val="22"/>
          <w:szCs w:val="22"/>
        </w:rPr>
        <w:t>with an expected decrease of $</w:t>
      </w:r>
      <w:r w:rsidR="00D32AE2">
        <w:rPr>
          <w:sz w:val="22"/>
          <w:szCs w:val="22"/>
        </w:rPr>
        <w:t xml:space="preserve">30,000, sales tax not as bad as expected, </w:t>
      </w:r>
      <w:r w:rsidR="00827C8D">
        <w:rPr>
          <w:sz w:val="22"/>
          <w:szCs w:val="22"/>
        </w:rPr>
        <w:t xml:space="preserve">12% </w:t>
      </w:r>
      <w:r w:rsidR="00347E40">
        <w:rPr>
          <w:sz w:val="22"/>
          <w:szCs w:val="22"/>
        </w:rPr>
        <w:t xml:space="preserve">reduction. </w:t>
      </w:r>
      <w:r w:rsidR="00347E40">
        <w:rPr>
          <w:sz w:val="22"/>
          <w:szCs w:val="22"/>
        </w:rPr>
        <w:t xml:space="preserve">Large decrease in court revenue </w:t>
      </w:r>
      <w:r w:rsidR="00347E40">
        <w:rPr>
          <w:sz w:val="22"/>
          <w:szCs w:val="22"/>
        </w:rPr>
        <w:t xml:space="preserve">expected </w:t>
      </w:r>
      <w:r w:rsidR="00347E40">
        <w:rPr>
          <w:sz w:val="22"/>
          <w:szCs w:val="22"/>
        </w:rPr>
        <w:t>$30,000 decrease</w:t>
      </w:r>
      <w:r w:rsidR="00347E40">
        <w:rPr>
          <w:sz w:val="22"/>
          <w:szCs w:val="22"/>
        </w:rPr>
        <w:t>.</w:t>
      </w:r>
    </w:p>
    <w:p w14:paraId="47C9AAE3" w14:textId="79AE7833" w:rsidR="006E3391" w:rsidRDefault="00347E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</w:t>
      </w:r>
      <w:r w:rsidR="00827C8D">
        <w:rPr>
          <w:sz w:val="22"/>
          <w:szCs w:val="22"/>
        </w:rPr>
        <w:t>raft budget</w:t>
      </w:r>
      <w:r>
        <w:rPr>
          <w:sz w:val="22"/>
          <w:szCs w:val="22"/>
        </w:rPr>
        <w:t xml:space="preserve"> will be at the September</w:t>
      </w:r>
      <w:r w:rsidR="00827C8D">
        <w:rPr>
          <w:sz w:val="22"/>
          <w:szCs w:val="22"/>
        </w:rPr>
        <w:t xml:space="preserve"> zoom meeting</w:t>
      </w:r>
      <w:r>
        <w:rPr>
          <w:sz w:val="22"/>
          <w:szCs w:val="22"/>
        </w:rPr>
        <w:t>.</w:t>
      </w:r>
      <w:r w:rsidR="00827C8D">
        <w:rPr>
          <w:sz w:val="22"/>
          <w:szCs w:val="22"/>
        </w:rPr>
        <w:t xml:space="preserve"> </w:t>
      </w:r>
    </w:p>
    <w:p w14:paraId="1EAD91D8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3C0DAF9" w14:textId="3EDA5CC1" w:rsidR="00827C8D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State of repairs- Town Hall - decisions 2021-2022- repair, addition and finance concerns. </w:t>
      </w:r>
      <w:r w:rsidR="00827C8D">
        <w:rPr>
          <w:sz w:val="22"/>
          <w:szCs w:val="22"/>
        </w:rPr>
        <w:t>Repairs vs redo.  Thoughts on budgeting for 2021. Bonding</w:t>
      </w:r>
      <w:r w:rsidR="00347E40">
        <w:rPr>
          <w:sz w:val="22"/>
          <w:szCs w:val="22"/>
        </w:rPr>
        <w:t xml:space="preserve"> interest rates</w:t>
      </w:r>
      <w:r w:rsidR="00827C8D">
        <w:rPr>
          <w:sz w:val="22"/>
          <w:szCs w:val="22"/>
        </w:rPr>
        <w:t xml:space="preserve"> are in 1-2% range.</w:t>
      </w:r>
    </w:p>
    <w:p w14:paraId="189D2B39" w14:textId="5F401FB6" w:rsidR="006E3391" w:rsidRDefault="00827C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Building reserve</w:t>
      </w:r>
      <w:r w:rsidR="00347E40">
        <w:rPr>
          <w:sz w:val="22"/>
          <w:szCs w:val="22"/>
        </w:rPr>
        <w:t xml:space="preserve"> could be used</w:t>
      </w:r>
      <w:r>
        <w:rPr>
          <w:sz w:val="22"/>
          <w:szCs w:val="22"/>
        </w:rPr>
        <w:t xml:space="preserve"> for repairs instead of bonding. </w:t>
      </w:r>
      <w:r w:rsidR="00CD3052">
        <w:rPr>
          <w:sz w:val="22"/>
          <w:szCs w:val="22"/>
        </w:rPr>
        <w:t>Address future needs</w:t>
      </w:r>
      <w:r w:rsidR="00347E40">
        <w:rPr>
          <w:sz w:val="22"/>
          <w:szCs w:val="22"/>
        </w:rPr>
        <w:t xml:space="preserve"> and </w:t>
      </w:r>
      <w:r w:rsidR="00E731A6">
        <w:rPr>
          <w:sz w:val="22"/>
          <w:szCs w:val="22"/>
        </w:rPr>
        <w:t>growth.</w:t>
      </w:r>
      <w:r w:rsidR="00CD3052">
        <w:rPr>
          <w:sz w:val="22"/>
          <w:szCs w:val="22"/>
        </w:rPr>
        <w:t xml:space="preserve"> </w:t>
      </w:r>
      <w:r w:rsidR="00347E40">
        <w:rPr>
          <w:sz w:val="22"/>
          <w:szCs w:val="22"/>
        </w:rPr>
        <w:t>Explore w</w:t>
      </w:r>
      <w:r w:rsidR="00CD3052">
        <w:rPr>
          <w:sz w:val="22"/>
          <w:szCs w:val="22"/>
        </w:rPr>
        <w:t>hat the costs would be to improve town hall.</w:t>
      </w:r>
    </w:p>
    <w:p w14:paraId="608FD5FD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911322A" w14:textId="77777777" w:rsidR="008E41E2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  <w:t xml:space="preserve">Removal of Sigler Road access spur from CHIPS measurements </w:t>
      </w:r>
      <w:r w:rsidR="008E41E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14:paraId="73BE3445" w14:textId="05BDA276" w:rsidR="006E3391" w:rsidRDefault="008E41E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Further improvement will be made on the Sigler </w:t>
      </w:r>
      <w:r w:rsidR="00FA7B6E">
        <w:rPr>
          <w:sz w:val="22"/>
          <w:szCs w:val="22"/>
        </w:rPr>
        <w:t>Road</w:t>
      </w:r>
      <w:r>
        <w:rPr>
          <w:sz w:val="22"/>
          <w:szCs w:val="22"/>
        </w:rPr>
        <w:t>/Gallatinville Road intersection. The roadway will be</w:t>
      </w:r>
      <w:r w:rsidR="00532D28">
        <w:rPr>
          <w:sz w:val="22"/>
          <w:szCs w:val="22"/>
        </w:rPr>
        <w:t xml:space="preserve"> better</w:t>
      </w:r>
      <w:r w:rsidR="00FA7B6E">
        <w:rPr>
          <w:sz w:val="22"/>
          <w:szCs w:val="22"/>
        </w:rPr>
        <w:t xml:space="preserve"> defined by lines. </w:t>
      </w:r>
    </w:p>
    <w:p w14:paraId="62E8320D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D507A6" w14:textId="77777777" w:rsidR="00CC4839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Executive Session - To discuss a HR personnel issue and Pending Litigation and counsel assignment issues (litigation correspondence, assessment, ROW road use). </w:t>
      </w:r>
    </w:p>
    <w:p w14:paraId="07932680" w14:textId="77777777" w:rsidR="00CC4839" w:rsidRDefault="008E41E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Motion to enter into Executive Session </w:t>
      </w:r>
    </w:p>
    <w:p w14:paraId="3338C303" w14:textId="77777777" w:rsidR="008E41E2" w:rsidRDefault="008E41E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CM Mortenson second CW Odell</w:t>
      </w:r>
    </w:p>
    <w:p w14:paraId="239E0626" w14:textId="77777777" w:rsidR="008E41E2" w:rsidRDefault="008E41E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Motion to close Executive Session </w:t>
      </w:r>
    </w:p>
    <w:p w14:paraId="005E968B" w14:textId="77777777" w:rsidR="00043252" w:rsidRDefault="0004325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CM Mortenson second CW Odell</w:t>
      </w:r>
    </w:p>
    <w:p w14:paraId="47C20D34" w14:textId="77777777" w:rsidR="00043252" w:rsidRDefault="0004325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A8156A6" w14:textId="77777777" w:rsidR="00043252" w:rsidRDefault="0004325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Motion to return to public meeting </w:t>
      </w:r>
    </w:p>
    <w:p w14:paraId="4EE60B2D" w14:textId="77777777" w:rsidR="00043252" w:rsidRDefault="0004325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CM Paterson second CW Martini</w:t>
      </w:r>
    </w:p>
    <w:p w14:paraId="6A479456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712A306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104F9B8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6ECC7D5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4BB14DE" w14:textId="77777777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66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REVIEW OF </w:t>
      </w:r>
      <w:r>
        <w:rPr>
          <w:b/>
          <w:color w:val="000000"/>
          <w:sz w:val="22"/>
          <w:szCs w:val="22"/>
        </w:rPr>
        <w:t>PUBLIC COMMENT ON NEW BUSINESS (</w:t>
      </w:r>
      <w:r>
        <w:rPr>
          <w:b/>
          <w:sz w:val="22"/>
          <w:szCs w:val="22"/>
        </w:rPr>
        <w:t>Email/Zoom Comment)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33520B4" wp14:editId="18345FD3">
            <wp:extent cx="5257673" cy="20068"/>
            <wp:effectExtent l="0" t="0" r="0" b="0"/>
            <wp:docPr id="1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673" cy="20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1C4977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03B1247" w14:textId="77777777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MONTHLY BUSINESS SECTION</w:t>
      </w:r>
    </w:p>
    <w:p w14:paraId="3539028A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7232C51" w14:textId="26441415" w:rsidR="00043252" w:rsidRPr="00043252" w:rsidRDefault="007C19F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Review </w:t>
      </w:r>
      <w:r w:rsidR="00E731A6">
        <w:rPr>
          <w:color w:val="000000"/>
          <w:sz w:val="22"/>
          <w:szCs w:val="22"/>
        </w:rPr>
        <w:t xml:space="preserve">of </w:t>
      </w:r>
      <w:r w:rsidR="00E731A6">
        <w:rPr>
          <w:sz w:val="22"/>
          <w:szCs w:val="22"/>
        </w:rPr>
        <w:t>July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2020 Minutes for Errors/Clarifications </w:t>
      </w:r>
      <w:r>
        <w:rPr>
          <w:b/>
          <w:sz w:val="22"/>
          <w:szCs w:val="22"/>
        </w:rPr>
        <w:t>Resolution 2020-</w:t>
      </w:r>
      <w:r w:rsidR="00347E40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- Approve </w:t>
      </w:r>
      <w:r w:rsidR="00E731A6">
        <w:rPr>
          <w:b/>
          <w:sz w:val="22"/>
          <w:szCs w:val="22"/>
        </w:rPr>
        <w:t>July 2020</w:t>
      </w:r>
      <w:r>
        <w:rPr>
          <w:b/>
          <w:sz w:val="22"/>
          <w:szCs w:val="22"/>
        </w:rPr>
        <w:t xml:space="preserve"> Meeting </w:t>
      </w:r>
      <w:r w:rsidR="00E731A6">
        <w:rPr>
          <w:b/>
          <w:sz w:val="22"/>
          <w:szCs w:val="22"/>
        </w:rPr>
        <w:t>Minutes and</w:t>
      </w:r>
      <w:r>
        <w:rPr>
          <w:b/>
          <w:sz w:val="22"/>
          <w:szCs w:val="22"/>
        </w:rPr>
        <w:t xml:space="preserve"> posting of any completed Committee minutes.</w:t>
      </w:r>
      <w:r w:rsidR="00FA7B6E">
        <w:rPr>
          <w:b/>
          <w:sz w:val="22"/>
          <w:szCs w:val="22"/>
        </w:rPr>
        <w:t xml:space="preserve"> </w:t>
      </w:r>
    </w:p>
    <w:p w14:paraId="4B680481" w14:textId="77777777" w:rsidR="006E3391" w:rsidRDefault="00043252" w:rsidP="0004325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Motion CM Mortenteson Second CW Odell</w:t>
      </w:r>
    </w:p>
    <w:p w14:paraId="7081A3F9" w14:textId="37E39805" w:rsidR="00043252" w:rsidRPr="00043252" w:rsidRDefault="007C19F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Bill Review of </w:t>
      </w:r>
      <w:r>
        <w:rPr>
          <w:sz w:val="22"/>
          <w:szCs w:val="22"/>
        </w:rPr>
        <w:t>Non-Recurring</w:t>
      </w:r>
      <w:r>
        <w:rPr>
          <w:color w:val="000000"/>
          <w:sz w:val="22"/>
          <w:szCs w:val="22"/>
        </w:rPr>
        <w:t xml:space="preserve"> items</w:t>
      </w:r>
      <w:r w:rsidR="00E731A6">
        <w:rPr>
          <w:color w:val="000000"/>
          <w:sz w:val="22"/>
          <w:szCs w:val="22"/>
        </w:rPr>
        <w:t>- Resolution</w:t>
      </w:r>
      <w:r>
        <w:rPr>
          <w:b/>
          <w:color w:val="000000"/>
          <w:sz w:val="22"/>
          <w:szCs w:val="22"/>
        </w:rPr>
        <w:t xml:space="preserve"> 2020-</w:t>
      </w:r>
      <w:r w:rsidR="00347E40">
        <w:rPr>
          <w:b/>
          <w:sz w:val="22"/>
          <w:szCs w:val="22"/>
        </w:rPr>
        <w:t>32</w:t>
      </w:r>
      <w:r>
        <w:rPr>
          <w:b/>
          <w:sz w:val="22"/>
          <w:szCs w:val="22"/>
        </w:rPr>
        <w:t>_</w:t>
      </w:r>
      <w:r>
        <w:rPr>
          <w:b/>
          <w:color w:val="000000"/>
          <w:sz w:val="22"/>
          <w:szCs w:val="22"/>
        </w:rPr>
        <w:t xml:space="preserve"> to 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pprove </w:t>
      </w:r>
      <w:r>
        <w:rPr>
          <w:b/>
          <w:sz w:val="22"/>
          <w:szCs w:val="22"/>
        </w:rPr>
        <w:t xml:space="preserve">July </w:t>
      </w:r>
      <w:r>
        <w:rPr>
          <w:b/>
          <w:color w:val="000000"/>
          <w:sz w:val="22"/>
          <w:szCs w:val="22"/>
        </w:rPr>
        <w:t>2020 bills (done by digital abstract review</w:t>
      </w:r>
      <w:r>
        <w:rPr>
          <w:b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for payment.</w:t>
      </w:r>
      <w:r w:rsidR="00FA7B6E">
        <w:rPr>
          <w:b/>
          <w:color w:val="000000"/>
          <w:sz w:val="22"/>
          <w:szCs w:val="22"/>
        </w:rPr>
        <w:t xml:space="preserve"> </w:t>
      </w:r>
    </w:p>
    <w:p w14:paraId="387C82DD" w14:textId="77777777" w:rsidR="006E3391" w:rsidRDefault="00043252" w:rsidP="0004325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Motion CW Martini second CM Mortenson</w:t>
      </w:r>
    </w:p>
    <w:p w14:paraId="1BB5386C" w14:textId="51F17540" w:rsidR="006E3391" w:rsidRDefault="007C19F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Highway Superintendent Comments/</w:t>
      </w:r>
      <w:r w:rsidR="00E731A6">
        <w:rPr>
          <w:color w:val="000000"/>
          <w:sz w:val="22"/>
          <w:szCs w:val="22"/>
        </w:rPr>
        <w:t>Report:</w:t>
      </w:r>
      <w:r w:rsidR="00347E40">
        <w:rPr>
          <w:color w:val="000000"/>
          <w:sz w:val="22"/>
          <w:szCs w:val="22"/>
        </w:rPr>
        <w:t xml:space="preserve"> Read and Filed.</w:t>
      </w:r>
    </w:p>
    <w:p w14:paraId="12423C70" w14:textId="60360BBF" w:rsidR="006E3391" w:rsidRDefault="007C19F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Comments of Code Enforcement Officer</w:t>
      </w:r>
      <w:r w:rsidR="00347E40">
        <w:rPr>
          <w:color w:val="000000"/>
          <w:sz w:val="22"/>
          <w:szCs w:val="22"/>
        </w:rPr>
        <w:t xml:space="preserve"> Read and Filed.</w:t>
      </w:r>
      <w:r>
        <w:rPr>
          <w:color w:val="000000"/>
          <w:sz w:val="22"/>
          <w:szCs w:val="22"/>
        </w:rPr>
        <w:t xml:space="preserve"> </w:t>
      </w:r>
    </w:p>
    <w:p w14:paraId="121546D1" w14:textId="707A2805" w:rsidR="006E3391" w:rsidRDefault="007C19F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Clerk Reports</w:t>
      </w:r>
      <w:r w:rsidR="001D7F48">
        <w:rPr>
          <w:color w:val="000000"/>
          <w:sz w:val="22"/>
          <w:szCs w:val="22"/>
        </w:rPr>
        <w:t>- Read and Filed</w:t>
      </w:r>
    </w:p>
    <w:p w14:paraId="554A8742" w14:textId="77777777" w:rsidR="006E3391" w:rsidRDefault="007C19F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Assessor Comments</w:t>
      </w:r>
    </w:p>
    <w:p w14:paraId="2733C5D2" w14:textId="77777777" w:rsidR="006E3391" w:rsidRDefault="007C19F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Supervisors report </w:t>
      </w:r>
      <w:r>
        <w:rPr>
          <w:sz w:val="22"/>
          <w:szCs w:val="22"/>
        </w:rPr>
        <w:t xml:space="preserve">- update on County matters as applicable. </w:t>
      </w:r>
    </w:p>
    <w:p w14:paraId="0838D0C6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06ADFA59" w14:textId="77777777" w:rsidR="006E3391" w:rsidRDefault="007C19F2">
      <w:pPr>
        <w:pStyle w:val="Normal1"/>
        <w:widowControl w:val="0"/>
        <w:tabs>
          <w:tab w:val="left" w:pos="220"/>
          <w:tab w:val="left" w:pos="720"/>
        </w:tabs>
        <w:spacing w:after="266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 OF PUBLIC COMMENT ON OLD BUSINESS (Email/Zoom Comment) </w:t>
      </w:r>
    </w:p>
    <w:p w14:paraId="5B69E792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8E5B192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ED9E63C" w14:textId="77777777" w:rsidR="006E3391" w:rsidRDefault="006E33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8626E7A" w14:textId="146D7F92" w:rsidR="006E3391" w:rsidRDefault="007C19F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r>
        <w:rPr>
          <w:b/>
          <w:color w:val="000000"/>
          <w:sz w:val="22"/>
          <w:szCs w:val="22"/>
        </w:rPr>
        <w:t>ADJOUR</w:t>
      </w:r>
      <w:r>
        <w:rPr>
          <w:b/>
          <w:sz w:val="22"/>
          <w:szCs w:val="22"/>
        </w:rPr>
        <w:t xml:space="preserve">NED BY RESOLUTION OF THE GALLATIN TOWN BOARD </w:t>
      </w:r>
    </w:p>
    <w:p w14:paraId="47C3CE11" w14:textId="7B6F39C8" w:rsidR="00347E40" w:rsidRDefault="00347E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Motion CM Mortenson second CW Martini</w:t>
      </w:r>
    </w:p>
    <w:sectPr w:rsidR="00347E40" w:rsidSect="006E3391">
      <w:headerReference w:type="default" r:id="rId8"/>
      <w:footerReference w:type="default" r:id="rId9"/>
      <w:pgSz w:w="12240" w:h="15840"/>
      <w:pgMar w:top="1440" w:right="1800" w:bottom="1440" w:left="1800" w:header="720" w:footer="1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B6F3" w14:textId="77777777" w:rsidR="0046226D" w:rsidRDefault="0046226D">
      <w:r>
        <w:separator/>
      </w:r>
    </w:p>
  </w:endnote>
  <w:endnote w:type="continuationSeparator" w:id="0">
    <w:p w14:paraId="09EEA822" w14:textId="77777777" w:rsidR="0046226D" w:rsidRDefault="0046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E2E2" w14:textId="77777777" w:rsidR="00CC4839" w:rsidRDefault="00CC4839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50E8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B4FF1" w14:textId="77777777" w:rsidR="0046226D" w:rsidRDefault="0046226D">
      <w:r>
        <w:separator/>
      </w:r>
    </w:p>
  </w:footnote>
  <w:footnote w:type="continuationSeparator" w:id="0">
    <w:p w14:paraId="1EBA7843" w14:textId="77777777" w:rsidR="0046226D" w:rsidRDefault="0046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D85B" w14:textId="77777777" w:rsidR="00CC4839" w:rsidRDefault="00CC4839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5149C"/>
    <w:multiLevelType w:val="multilevel"/>
    <w:tmpl w:val="C6E4B842"/>
    <w:lvl w:ilvl="0">
      <w:start w:val="1"/>
      <w:numFmt w:val="decimal"/>
      <w:lvlText w:val="%1."/>
      <w:lvlJc w:val="left"/>
      <w:pPr>
        <w:ind w:left="1080" w:hanging="72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4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4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4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7FFD61A2"/>
    <w:multiLevelType w:val="multilevel"/>
    <w:tmpl w:val="9004660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391"/>
    <w:rsid w:val="00037F48"/>
    <w:rsid w:val="00043252"/>
    <w:rsid w:val="00143671"/>
    <w:rsid w:val="001D7F48"/>
    <w:rsid w:val="00347E40"/>
    <w:rsid w:val="0046226D"/>
    <w:rsid w:val="00532D28"/>
    <w:rsid w:val="005D33B9"/>
    <w:rsid w:val="00641DD3"/>
    <w:rsid w:val="00650E82"/>
    <w:rsid w:val="006E3391"/>
    <w:rsid w:val="00701E98"/>
    <w:rsid w:val="007C19F2"/>
    <w:rsid w:val="00827C8D"/>
    <w:rsid w:val="0084459A"/>
    <w:rsid w:val="008D6A70"/>
    <w:rsid w:val="008E41E2"/>
    <w:rsid w:val="00920B55"/>
    <w:rsid w:val="00933AB9"/>
    <w:rsid w:val="009D2873"/>
    <w:rsid w:val="00AB408F"/>
    <w:rsid w:val="00BE2948"/>
    <w:rsid w:val="00CC4839"/>
    <w:rsid w:val="00CD3052"/>
    <w:rsid w:val="00D32AE2"/>
    <w:rsid w:val="00D40680"/>
    <w:rsid w:val="00E731A6"/>
    <w:rsid w:val="00FA7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7E72"/>
  <w15:docId w15:val="{47380873-4383-4E64-ADEC-5AC3CBC6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E33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E33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E33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E339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6E33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33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3391"/>
  </w:style>
  <w:style w:type="paragraph" w:styleId="Title">
    <w:name w:val="Title"/>
    <w:basedOn w:val="Normal1"/>
    <w:next w:val="Normal1"/>
    <w:rsid w:val="006E339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E33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339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Harlem Valley Rail Trail Association, Inc.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Lisa DeLeeuw</cp:lastModifiedBy>
  <cp:revision>5</cp:revision>
  <dcterms:created xsi:type="dcterms:W3CDTF">2020-09-21T14:58:00Z</dcterms:created>
  <dcterms:modified xsi:type="dcterms:W3CDTF">2020-09-21T15:02:00Z</dcterms:modified>
</cp:coreProperties>
</file>